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0F88D2">
      <w:pPr>
        <w:ind w:left="0" w:firstLine="0"/>
        <w:rPr>
          <w:rFonts w:ascii="Calibri" w:hAnsi="Calibri" w:eastAsia="Calibri" w:cs="Calibri"/>
        </w:rPr>
      </w:pPr>
      <w:r>
        <w:rPr>
          <w:rFonts w:ascii="Calibri" w:hAnsi="Calibri" w:eastAsia="Calibri" w:cs="Calibri"/>
          <w:b/>
        </w:rPr>
        <w:t xml:space="preserve">DISPENSA ELETRÔNICA Nº DE </w:t>
      </w:r>
      <w:r>
        <w:rPr>
          <w:rFonts w:hint="default" w:ascii="Calibri" w:hAnsi="Calibri" w:eastAsia="Calibri" w:cs="Calibri"/>
          <w:b/>
          <w:lang w:val="pt-BR"/>
        </w:rPr>
        <w:t>16</w:t>
      </w:r>
      <w:r>
        <w:rPr>
          <w:rFonts w:ascii="Calibri" w:hAnsi="Calibri" w:eastAsia="Calibri" w:cs="Calibri"/>
          <w:b/>
        </w:rPr>
        <w:t>/2026</w:t>
      </w:r>
    </w:p>
    <w:p w14:paraId="7300C464">
      <w:pPr>
        <w:rPr>
          <w:rFonts w:hint="default"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PROCESSO ADMINISTRATIVO Nº </w:t>
      </w:r>
      <w:r>
        <w:rPr>
          <w:rFonts w:hint="default" w:ascii="Calibri" w:hAnsi="Calibri" w:eastAsia="Calibri" w:cs="Calibri"/>
          <w:b/>
          <w:lang w:val="pt-BR"/>
        </w:rPr>
        <w:t>6.412</w:t>
      </w:r>
      <w:r>
        <w:rPr>
          <w:rFonts w:ascii="Calibri" w:hAnsi="Calibri" w:eastAsia="Calibri" w:cs="Calibri"/>
          <w:b/>
        </w:rPr>
        <w:t>/202</w:t>
      </w:r>
      <w:r>
        <w:rPr>
          <w:rFonts w:hint="default" w:ascii="Calibri" w:hAnsi="Calibri" w:eastAsia="Calibri" w:cs="Calibri"/>
          <w:b/>
          <w:lang w:val="pt-BR"/>
        </w:rPr>
        <w:t>6</w:t>
      </w:r>
    </w:p>
    <w:p w14:paraId="7F7B23F0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 w14:paraId="321EB8E2">
      <w:pPr>
        <w:rPr>
          <w:rFonts w:ascii="Calibri" w:hAnsi="Calibri" w:eastAsia="Calibri" w:cs="Calibri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ascii="Calibri" w:hAnsi="Calibri" w:eastAsia="Calibri" w:cs="Calibri"/>
        </w:rPr>
        <w:t>MENOR PREÇO UNITÁRIO POR ITEM</w:t>
      </w:r>
    </w:p>
    <w:p w14:paraId="5FA771F8">
      <w:pPr>
        <w:spacing w:line="276" w:lineRule="auto"/>
        <w:ind w:left="0" w:firstLine="0"/>
        <w:rPr>
          <w:rFonts w:hint="default" w:ascii="Calibri" w:hAnsi="Calibri" w:eastAsia="Calibri" w:cs="Calibri"/>
          <w:b/>
          <w:lang w:val="pt-BR" w:eastAsia="zh-CN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ascii="Calibri" w:hAnsi="Calibri" w:eastAsia="Calibri" w:cs="Calibri"/>
          <w:b/>
          <w:lang w:eastAsia="zh-CN"/>
        </w:rPr>
        <w:t>Aquisição de 01 (um) NVR e 02 (dois) HDs SATA 12TB, para atender às necessidades da Secretaria de Segurança e Ordem Pública</w:t>
      </w:r>
      <w:r>
        <w:rPr>
          <w:rFonts w:hint="default" w:ascii="Calibri" w:hAnsi="Calibri" w:eastAsia="Calibri" w:cs="Calibri"/>
          <w:b/>
          <w:lang w:val="pt-BR" w:eastAsia="zh-CN"/>
        </w:rPr>
        <w:t>.</w:t>
      </w:r>
    </w:p>
    <w:p w14:paraId="35CC15F4">
      <w:pPr>
        <w:spacing w:line="276" w:lineRule="auto"/>
        <w:ind w:left="0" w:firstLine="0"/>
        <w:rPr>
          <w:rFonts w:ascii="Calibri" w:hAnsi="Calibri" w:eastAsia="Calibri" w:cs="Calibri"/>
          <w:b/>
          <w:lang w:eastAsia="zh-CN"/>
        </w:rPr>
      </w:pPr>
      <w:r>
        <w:rPr>
          <w:rFonts w:ascii="Calibri" w:hAnsi="Calibri" w:eastAsia="Calibri" w:cs="Calibri"/>
          <w:b/>
          <w:lang w:eastAsia="zh-CN"/>
        </w:rPr>
        <w:tab/>
      </w:r>
      <w:r>
        <w:rPr>
          <w:rFonts w:ascii="Calibri" w:hAnsi="Calibri" w:eastAsia="Calibri" w:cs="Calibri"/>
          <w:b/>
          <w:lang w:eastAsia="zh-CN"/>
        </w:rPr>
        <w:tab/>
      </w:r>
      <w:r>
        <w:rPr>
          <w:rFonts w:ascii="Calibri" w:hAnsi="Calibri" w:eastAsia="Calibri" w:cs="Calibri"/>
          <w:b/>
          <w:lang w:eastAsia="zh-CN"/>
        </w:rPr>
        <w:tab/>
      </w:r>
    </w:p>
    <w:p w14:paraId="717309D4"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 w14:paraId="654D0233"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 w14:paraId="565A45DA"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036A88A"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 w14:paraId="2BECA900">
      <w:pPr>
        <w:rPr>
          <w:rFonts w:ascii="Calibri" w:hAnsi="Calibri" w:eastAsia="Calibri" w:cs="Calibri"/>
          <w:b/>
          <w:sz w:val="22"/>
          <w:szCs w:val="22"/>
        </w:rPr>
      </w:pPr>
    </w:p>
    <w:p w14:paraId="311C29EF">
      <w:pP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lang w:val="pt-BR"/>
        </w:rPr>
        <w:t>16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/2026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em epígrafe, que tem por objeto a </w:t>
      </w:r>
      <w:r>
        <w:rPr>
          <w:rFonts w:hint="default" w:ascii="Calibri" w:hAnsi="Calibri" w:eastAsia="Calibri" w:cs="Calibri"/>
          <w:b/>
          <w:lang w:val="pt-BR" w:eastAsia="zh-CN"/>
        </w:rPr>
        <w:t>a</w:t>
      </w:r>
      <w:r>
        <w:rPr>
          <w:rFonts w:ascii="Calibri" w:hAnsi="Calibri" w:eastAsia="Calibri" w:cs="Calibri"/>
          <w:b/>
          <w:lang w:eastAsia="zh-CN"/>
        </w:rPr>
        <w:t>quisição de 01 (um) NVR e 02 (dois) HDs SATA 12TB, para atender às necessidades da Secretaria de Segurança e Ordem Pública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 w14:paraId="208193DD">
      <w:pP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4"/>
        <w:tblW w:w="9225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2977"/>
        <w:gridCol w:w="982"/>
        <w:gridCol w:w="721"/>
        <w:gridCol w:w="877"/>
        <w:gridCol w:w="877"/>
        <w:gridCol w:w="1095"/>
      </w:tblGrid>
      <w:tr w14:paraId="1F29C5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  <w:jc w:val="center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123730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DC053B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2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C1654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98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57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7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B970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7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1038A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8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59FFC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B6A6CC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6A24E6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95" w:hRule="atLeast"/>
          <w:jc w:val="center"/>
        </w:trPr>
        <w:tc>
          <w:tcPr>
            <w:tcW w:w="9225" w:type="dxa"/>
            <w:gridSpan w:val="8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959C85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 w:themeColor="background1"/>
                <w:sz w:val="22"/>
                <w:szCs w:val="22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Calibri" w:hAnsi="Calibri" w:eastAsia="Calibri" w:cs="Calibri"/>
                <w:b/>
                <w:color w:val="FFFFFF" w:themeColor="background1"/>
                <w:sz w:val="22"/>
                <w:szCs w:val="22"/>
                <w14:textFill>
                  <w14:solidFill>
                    <w14:schemeClr w14:val="bg1"/>
                  </w14:solidFill>
                </w14:textFill>
              </w:rPr>
              <w:t>ESTOCÁVEIS</w:t>
            </w:r>
          </w:p>
        </w:tc>
      </w:tr>
      <w:tr w14:paraId="62A3F10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  <w:jc w:val="center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A63562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5ACF62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/>
                <w:spacing w:val="-2"/>
                <w:sz w:val="21"/>
                <w:szCs w:val="21"/>
                <w:lang w:val="pt-BR"/>
              </w:rPr>
              <w:t>635684</w:t>
            </w:r>
          </w:p>
        </w:tc>
        <w:tc>
          <w:tcPr>
            <w:tcW w:w="2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0AB8BC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>Gravador de vídeo em rede (NVR)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, com capacidade mínima para </w:t>
            </w: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>64 (sessenta e quatro) canais/câmeras IP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>, destinado ao gerenciamento e gravação de imagens de videomonitoramento, devendo atender, no mínimo, aos seguintes requisitos: Operação contínua</w:t>
            </w:r>
            <w:r>
              <w:rPr>
                <w:rFonts w:hint="default" w:ascii="Calibri" w:hAnsi="Calibri" w:eastAsia="SimSun" w:cs="Calibri"/>
                <w:b w:val="0"/>
                <w:bCs w:val="0"/>
                <w:sz w:val="20"/>
                <w:szCs w:val="20"/>
              </w:rPr>
              <w:t>,</w:t>
            </w: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 xml:space="preserve"> 24 (vinte e quatro) horas por dia, 7 (sete) dias por semana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; </w:t>
            </w:r>
          </w:p>
          <w:p w14:paraId="0C371ED6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</w:p>
          <w:p w14:paraId="514CD909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Compatibilidade com protocolo ONVIF (Perfil S, G ou T), 1 interoperabilidade garantindo com câmeras IP de diferentes fabricantes; </w:t>
            </w:r>
          </w:p>
          <w:p w14:paraId="0323F5BC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</w:p>
          <w:p w14:paraId="3B9BD8EE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Compatibilidade com o sistema de videomonitoramento existente, permitindo integração com os dispositivos atualmente instalados e com o software de gerenciamento em uso; </w:t>
            </w:r>
          </w:p>
          <w:p w14:paraId="39A21453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</w:p>
          <w:p w14:paraId="2A2AB99B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sz w:val="20"/>
                <w:szCs w:val="20"/>
              </w:rPr>
              <w:t>Suporte a gravação em alta definição, com compressão de vídeo compatível com as câmeras instaladas, devendo suportar, no mínimo, os padrões H.264 e H.265 (ou</w:t>
            </w:r>
            <w:r>
              <w:rPr>
                <w:rFonts w:hint="default" w:ascii="Calibri" w:hAnsi="Calibri" w:eastAsia="SimSun" w:cs="Calibri"/>
                <w:sz w:val="20"/>
                <w:szCs w:val="20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equivalentes). </w:t>
            </w:r>
          </w:p>
          <w:p w14:paraId="0C4DD5BB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Capacidade de armazenamento interno compatível com instalação </w:t>
            </w: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>de discos rígidos do tipo SATA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, comsuporte mínimo para </w:t>
            </w: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>02 (dois) HDs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, permitindo expansão conforme necessidade da Administração; </w:t>
            </w:r>
          </w:p>
          <w:p w14:paraId="78D9A376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</w:p>
          <w:p w14:paraId="15B0F03E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Interfaces de rede compatíveis com a infraestrutura existente, garantindo estabilidade e desempenho para gravação simultânea de múltiplos canais; Permitir visualização ao vivo, reprodução, backup e exportação de imagens, com recursos mínimos de busca por data, hora e canal; Equipamento apropriado para uso institucional, com estabilidade, confiabilidade e desempenho compatíveis comsistemas críticos de segurança pública. </w:t>
            </w:r>
          </w:p>
          <w:p w14:paraId="5AC339F7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</w:p>
          <w:p w14:paraId="5487EC67">
            <w:pPr>
              <w:ind w:left="0" w:firstLine="0"/>
              <w:rPr>
                <w:rFonts w:hint="default"/>
                <w:sz w:val="20"/>
                <w:szCs w:val="20"/>
                <w:lang w:val="pt-BR"/>
              </w:rPr>
            </w:pP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>Garantia mínima: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 12 meses Será aceita garantia superior, como melhoria da proposta, sem ônus para a Administração.</w:t>
            </w:r>
          </w:p>
        </w:tc>
        <w:tc>
          <w:tcPr>
            <w:tcW w:w="9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84FFC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UN</w:t>
            </w:r>
          </w:p>
        </w:tc>
        <w:tc>
          <w:tcPr>
            <w:tcW w:w="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55B016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01</w:t>
            </w:r>
          </w:p>
        </w:tc>
        <w:tc>
          <w:tcPr>
            <w:tcW w:w="8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5135C0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87E709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B70768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bookmarkStart w:id="1" w:name="_GoBack"/>
            <w:bookmarkEnd w:id="1"/>
          </w:p>
        </w:tc>
      </w:tr>
      <w:tr w14:paraId="5E8DE49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64" w:hRule="atLeast"/>
          <w:jc w:val="center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6287FD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2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07C4B5">
            <w:pPr>
              <w:ind w:left="0" w:firstLine="0"/>
              <w:jc w:val="center"/>
              <w:rPr>
                <w:rFonts w:hint="default"/>
                <w:spacing w:val="-2"/>
                <w:sz w:val="22"/>
                <w:lang w:val="pt-BR"/>
              </w:rPr>
            </w:pPr>
            <w:r>
              <w:rPr>
                <w:rFonts w:hint="default" w:ascii="Calibri" w:hAnsi="Calibri" w:cs="Calibri"/>
                <w:spacing w:val="-2"/>
                <w:sz w:val="21"/>
                <w:szCs w:val="21"/>
                <w:lang w:val="pt-BR"/>
              </w:rPr>
              <w:t>463206</w:t>
            </w:r>
          </w:p>
        </w:tc>
        <w:tc>
          <w:tcPr>
            <w:tcW w:w="29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F8992D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>Disco rígido (HD) SATA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, com capacidade mínima de </w:t>
            </w: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>12TB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, destinado ao armazenamento de imagens do sistema de videomonitoramento, devendo atender, no mínimo, aos seguintes requisitos: Interface </w:t>
            </w: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>SATA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>, compatível com o gravador de vídeo em rede (NVR) a ser adquirido e com</w:t>
            </w:r>
            <w:r>
              <w:rPr>
                <w:rFonts w:hint="default" w:ascii="Calibri" w:hAnsi="Calibri" w:eastAsia="SimSun" w:cs="Calibri"/>
                <w:sz w:val="20"/>
                <w:szCs w:val="20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>o</w:t>
            </w:r>
            <w:r>
              <w:rPr>
                <w:rFonts w:hint="default" w:ascii="Calibri" w:hAnsi="Calibri" w:eastAsia="SimSun" w:cs="Calibri"/>
                <w:sz w:val="20"/>
                <w:szCs w:val="20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sistema existente; </w:t>
            </w:r>
          </w:p>
          <w:p w14:paraId="370C5F27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</w:p>
          <w:p w14:paraId="0B72BEDC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Indicado para operação contínua, </w:t>
            </w:r>
            <w:r>
              <w:rPr>
                <w:rFonts w:hint="default" w:ascii="Calibri" w:hAnsi="Calibri" w:eastAsia="SimSun" w:cs="Calibri"/>
                <w:b/>
                <w:bCs/>
                <w:sz w:val="20"/>
                <w:szCs w:val="20"/>
              </w:rPr>
              <w:t>24 (vinte e quatro) horas por dia, 7 (sete) dias por semana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, próprio para sistemas de </w:t>
            </w:r>
            <w:r>
              <w:rPr>
                <w:rFonts w:hint="default" w:ascii="Calibri" w:hAnsi="Calibri" w:eastAsia="SimSun" w:cs="Calibri"/>
                <w:sz w:val="20"/>
                <w:szCs w:val="20"/>
                <w:lang w:val="en-US" w:eastAsia="zh-CN"/>
              </w:rPr>
              <w:t>vigilância</w:t>
            </w:r>
            <w:r>
              <w:rPr>
                <w:rFonts w:hint="default" w:ascii="Calibri" w:hAnsi="Calibri" w:eastAsia="SimSun" w:cs="Calibri"/>
                <w:sz w:val="20"/>
                <w:szCs w:val="20"/>
                <w:lang w:val="pt-BR" w:eastAsia="zh-CN"/>
              </w:rPr>
              <w:t xml:space="preserve"> </w:t>
            </w:r>
            <w:r>
              <w:rPr>
                <w:rFonts w:hint="default" w:ascii="Calibri" w:hAnsi="Calibri" w:eastAsia="SimSun" w:cs="Calibri"/>
                <w:sz w:val="20"/>
                <w:szCs w:val="20"/>
                <w:lang w:val="en-US" w:eastAsia="zh-CN"/>
              </w:rPr>
              <w:t>eletrônica e gravação</w:t>
            </w:r>
            <w:r>
              <w:rPr>
                <w:rFonts w:hint="default" w:ascii="Calibri" w:hAnsi="Calibri" w:eastAsia="SimSun" w:cs="Calibri"/>
                <w:sz w:val="20"/>
                <w:szCs w:val="20"/>
                <w:lang w:val="pt-BR" w:eastAsia="zh-CN"/>
              </w:rPr>
              <w:t xml:space="preserve"> </w:t>
            </w:r>
            <w:r>
              <w:rPr>
                <w:rFonts w:hint="default" w:ascii="Calibri" w:hAnsi="Calibri" w:eastAsia="SimSun" w:cs="Calibri"/>
                <w:sz w:val="20"/>
                <w:szCs w:val="20"/>
                <w:lang w:val="en-US" w:eastAsia="zh-CN"/>
              </w:rPr>
              <w:t xml:space="preserve">ininterrupta; </w:t>
            </w:r>
          </w:p>
          <w:p w14:paraId="10710472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</w:p>
          <w:p w14:paraId="163D0069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sz w:val="20"/>
                <w:szCs w:val="20"/>
              </w:rPr>
              <w:t>Desempenho compatível com gravação simultânea de múltiplos fluxos de vídeo, sem</w:t>
            </w:r>
            <w:r>
              <w:rPr>
                <w:rFonts w:hint="default" w:ascii="Calibri" w:hAnsi="Calibri" w:eastAsia="SimSun" w:cs="Calibri"/>
                <w:sz w:val="20"/>
                <w:szCs w:val="20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prejuízo da estabilidade do sistema; </w:t>
            </w:r>
          </w:p>
          <w:p w14:paraId="59BE0C8D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</w:p>
          <w:p w14:paraId="6E55E7EB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  <w:r>
              <w:rPr>
                <w:rFonts w:hint="default" w:ascii="Calibri" w:hAnsi="Calibri" w:eastAsia="SimSun" w:cs="Calibri"/>
                <w:sz w:val="20"/>
                <w:szCs w:val="20"/>
              </w:rPr>
              <w:t xml:space="preserve">Adequado para uso em ambiente institucional, com confiabilidade e durabilidade compatíveis com a criticidade do serviço; </w:t>
            </w:r>
          </w:p>
          <w:p w14:paraId="46030F65">
            <w:pPr>
              <w:ind w:left="0" w:firstLine="0"/>
              <w:rPr>
                <w:rFonts w:hint="default" w:ascii="Calibri" w:hAnsi="Calibri" w:eastAsia="SimSun" w:cs="Calibri"/>
                <w:sz w:val="20"/>
                <w:szCs w:val="20"/>
              </w:rPr>
            </w:pPr>
          </w:p>
          <w:p w14:paraId="4A64574B">
            <w:pPr>
              <w:ind w:left="0" w:firstLine="0"/>
              <w:rPr>
                <w:rFonts w:hint="default"/>
                <w:sz w:val="20"/>
                <w:szCs w:val="20"/>
                <w:lang w:val="pt-BR"/>
              </w:rPr>
            </w:pPr>
            <w:r>
              <w:rPr>
                <w:rFonts w:hint="default" w:ascii="Calibri" w:hAnsi="Calibri" w:eastAsia="SimSun" w:cs="Calibri"/>
                <w:sz w:val="20"/>
                <w:szCs w:val="20"/>
              </w:rPr>
              <w:t>Produto novo, sem uso, sem recondicionamento (refurbished), acompanhado de garantia mínima 12 meses conforme legislação vigente. Será aceita garantia superior, como melhoria da proposta, sem ônus para a Administração.</w:t>
            </w:r>
          </w:p>
        </w:tc>
        <w:tc>
          <w:tcPr>
            <w:tcW w:w="9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75A44D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UN</w:t>
            </w:r>
          </w:p>
        </w:tc>
        <w:tc>
          <w:tcPr>
            <w:tcW w:w="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2CDF75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02</w:t>
            </w:r>
          </w:p>
        </w:tc>
        <w:tc>
          <w:tcPr>
            <w:tcW w:w="8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858244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8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E340B8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36C0C3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6A3694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  <w:jc w:val="center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38984E"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379D8A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5609F6AC">
      <w:pP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5748FB53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25DE8D00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5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6623E79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3F76A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7831D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FDAEB2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0A784854">
      <w:pP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437B6208">
      <w:pP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6F6CAA7D">
      <w:pP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36D57898">
      <w:pP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36802A5F">
      <w:pP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6DE65F77">
      <w:pP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39E95A15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4831A93A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3435E87E">
      <w:pPr>
        <w:jc w:val="center"/>
        <w:rPr>
          <w:rFonts w:ascii="Calibri" w:hAnsi="Calibri" w:eastAsia="Calibri" w:cs="Calibri"/>
          <w:sz w:val="20"/>
        </w:rPr>
      </w:pPr>
    </w:p>
    <w:p w14:paraId="1324FC1F">
      <w:pPr>
        <w:jc w:val="center"/>
        <w:rPr>
          <w:rFonts w:ascii="Calibri" w:hAnsi="Calibri" w:eastAsia="Calibri" w:cs="Calibri"/>
          <w:sz w:val="20"/>
        </w:rPr>
      </w:pPr>
    </w:p>
    <w:p w14:paraId="0CE8FCA5">
      <w:pP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6130EF13">
      <w:pP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191" w:right="1418" w:bottom="454" w:left="1418" w:header="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C3B40827-112F-436F-8124-01921572DDBD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95667828-7C4F-4D62-9BDA-90CA5BFAB991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544F8CD0-7046-4954-A88B-2F00C91F791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58CF92FC-F0CD-4953-A049-3D721C1AB21C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ACE46DE6-68E8-4F0C-B884-9E464486D32D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6" w:fontKey="{2F22CB63-1AD1-4EEF-A170-0B5971BC673B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7" w:fontKey="{8D232004-C4C6-43BE-8990-1DDFD908944F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8" w:fontKey="{03D075AE-2FEA-47FE-B959-6C86ADE510AF}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9" w:fontKey="{59BDF0FB-EA60-4EFB-B8FA-C75032F97C89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E6E7F9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-240" w:leftChars="-100" w:right="-607" w:firstLine="0"/>
      <w:jc w:val="left"/>
      <w:rPr>
        <w:rFonts w:ascii="Arial" w:hAnsi="Arial" w:eastAsia="Arial" w:cs="Arial"/>
        <w:sz w:val="16"/>
        <w:szCs w:val="16"/>
      </w:rPr>
    </w:pPr>
    <w:r>
      <w:rPr>
        <w:rFonts w:ascii="Arial" w:hAnsi="Arial" w:eastAsia="Arial" w:cs="Arial"/>
        <w:sz w:val="16"/>
        <w:szCs w:val="16"/>
      </w:rPr>
      <w:drawing>
        <wp:inline distT="0" distB="0" distL="114300" distR="114300">
          <wp:extent cx="5723255" cy="903605"/>
          <wp:effectExtent l="0" t="0" r="0" b="0"/>
          <wp:docPr id="1" name="Imagem 1" descr="Secretaria de Segurança e Ordem Públi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Segurança e Ordem Públi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23255" cy="9036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82E3C"/>
    <w:rsid w:val="005F1AC9"/>
    <w:rsid w:val="005F21D1"/>
    <w:rsid w:val="006533B2"/>
    <w:rsid w:val="007E2238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07F9E"/>
    <w:rsid w:val="00D36397"/>
    <w:rsid w:val="00DE350A"/>
    <w:rsid w:val="00DF59AE"/>
    <w:rsid w:val="00E51507"/>
    <w:rsid w:val="00E53016"/>
    <w:rsid w:val="00F94EB7"/>
    <w:rsid w:val="05B209A3"/>
    <w:rsid w:val="0D696F8A"/>
    <w:rsid w:val="25C5693C"/>
    <w:rsid w:val="29E712B8"/>
    <w:rsid w:val="5263173A"/>
    <w:rsid w:val="60A745AB"/>
    <w:rsid w:val="6606434D"/>
    <w:rsid w:val="6BFA2A67"/>
    <w:rsid w:val="6E8E40BC"/>
    <w:rsid w:val="71811D95"/>
    <w:rsid w:val="7BA72F84"/>
    <w:rsid w:val="7F4E37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lang w:val="pt-BR" w:eastAsia="pt-BR" w:bidi="ar-SA"/>
    </w:rPr>
  </w:style>
  <w:style w:type="paragraph" w:styleId="2">
    <w:name w:val="heading 1"/>
    <w:basedOn w:val="1"/>
    <w:next w:val="1"/>
    <w:link w:val="22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3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4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5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6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7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8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9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Normal (Web)"/>
    <w:semiHidden/>
    <w:unhideWhenUsed/>
    <w:qFormat/>
    <w:uiPriority w:val="99"/>
    <w:pPr>
      <w:spacing w:beforeAutospacing="1" w:afterAutospacing="1"/>
    </w:pPr>
    <w:rPr>
      <w:rFonts w:ascii="Times New Roman" w:hAnsi="Times New Roman" w:eastAsia="SimSun" w:cs="Times New Roman"/>
      <w:szCs w:val="24"/>
      <w:lang w:val="en-US" w:eastAsia="zh-CN" w:bidi="ar-SA"/>
    </w:rPr>
  </w:style>
  <w:style w:type="paragraph" w:styleId="15">
    <w:name w:val="header"/>
    <w:basedOn w:val="1"/>
    <w:link w:val="32"/>
    <w:unhideWhenUsed/>
    <w:qFormat/>
    <w:uiPriority w:val="0"/>
    <w:pPr>
      <w:tabs>
        <w:tab w:val="center" w:pos="4252"/>
        <w:tab w:val="right" w:pos="8504"/>
      </w:tabs>
    </w:pPr>
  </w:style>
  <w:style w:type="paragraph" w:styleId="16">
    <w:name w:val="footer"/>
    <w:basedOn w:val="1"/>
    <w:link w:val="33"/>
    <w:unhideWhenUsed/>
    <w:qFormat/>
    <w:uiPriority w:val="99"/>
    <w:pPr>
      <w:tabs>
        <w:tab w:val="center" w:pos="4252"/>
        <w:tab w:val="right" w:pos="8504"/>
      </w:tabs>
    </w:pPr>
  </w:style>
  <w:style w:type="paragraph" w:styleId="17">
    <w:name w:val="Balloon Text"/>
    <w:basedOn w:val="1"/>
    <w:link w:val="37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8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9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0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2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3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4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5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6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7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8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9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30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1">
    <w:name w:val="Placeholder Text"/>
    <w:basedOn w:val="10"/>
    <w:semiHidden/>
    <w:qFormat/>
    <w:uiPriority w:val="99"/>
  </w:style>
  <w:style w:type="character" w:customStyle="1" w:styleId="32">
    <w:name w:val="Cabeçalho Char"/>
    <w:basedOn w:val="10"/>
    <w:link w:val="15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3">
    <w:name w:val="Rodapé Char"/>
    <w:basedOn w:val="10"/>
    <w:link w:val="16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4">
    <w:name w:val="No Spacing"/>
    <w:link w:val="35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5">
    <w:name w:val="Sem Espaçamento Char"/>
    <w:link w:val="34"/>
    <w:qFormat/>
    <w:uiPriority w:val="1"/>
    <w:rPr>
      <w:rFonts w:ascii="Calibri" w:hAnsi="Calibri" w:eastAsia="Times New Roman" w:cs="Times New Roman"/>
      <w:lang w:eastAsia="pt-BR"/>
    </w:rPr>
  </w:style>
  <w:style w:type="paragraph" w:styleId="36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7">
    <w:name w:val="Texto de balão Char"/>
    <w:basedOn w:val="10"/>
    <w:link w:val="17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8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9">
    <w:name w:val="LO-normal"/>
    <w:qFormat/>
    <w:uiPriority w:val="0"/>
    <w:pPr>
      <w:suppressAutoHyphens/>
      <w:spacing w:line="276" w:lineRule="auto"/>
      <w:ind w:left="709"/>
    </w:pPr>
    <w:rPr>
      <w:rFonts w:asciiTheme="minorHAnsi" w:hAnsiTheme="minorHAnsi" w:eastAsiaTheme="minorHAnsi" w:cstheme="minorBidi"/>
      <w:color w:val="00000A"/>
      <w:sz w:val="22"/>
      <w:lang w:val="pt-BR" w:eastAsia="pt-BR" w:bidi="ar-SA"/>
    </w:rPr>
  </w:style>
  <w:style w:type="table" w:customStyle="1" w:styleId="40">
    <w:name w:val="_Style 39"/>
    <w:basedOn w:val="21"/>
    <w:qFormat/>
    <w:uiPriority w:val="0"/>
    <w:tblPr>
      <w:tblCellMar>
        <w:left w:w="70" w:type="dxa"/>
        <w:right w:w="70" w:type="dxa"/>
      </w:tblCellMar>
    </w:tblPr>
  </w:style>
  <w:style w:type="table" w:customStyle="1" w:styleId="41">
    <w:name w:val="_Style 40"/>
    <w:basedOn w:val="21"/>
    <w:qFormat/>
    <w:uiPriority w:val="0"/>
    <w:tblPr>
      <w:tblCellMar>
        <w:left w:w="108" w:type="dxa"/>
        <w:right w:w="108" w:type="dxa"/>
      </w:tblCellMar>
    </w:tblPr>
  </w:style>
  <w:style w:type="table" w:customStyle="1" w:styleId="42">
    <w:name w:val="_Style 41"/>
    <w:basedOn w:val="21"/>
    <w:qFormat/>
    <w:uiPriority w:val="0"/>
    <w:tblPr>
      <w:tblCellMar>
        <w:left w:w="70" w:type="dxa"/>
        <w:right w:w="70" w:type="dxa"/>
      </w:tblCellMar>
    </w:tblPr>
  </w:style>
  <w:style w:type="table" w:customStyle="1" w:styleId="43">
    <w:name w:val="_Style 42"/>
    <w:basedOn w:val="21"/>
    <w:qFormat/>
    <w:uiPriority w:val="0"/>
    <w:tblPr>
      <w:tblCellMar>
        <w:left w:w="108" w:type="dxa"/>
        <w:right w:w="108" w:type="dxa"/>
      </w:tblCellMar>
    </w:tblPr>
  </w:style>
  <w:style w:type="table" w:customStyle="1" w:styleId="44">
    <w:name w:val="_Style 43"/>
    <w:basedOn w:val="21"/>
    <w:qFormat/>
    <w:uiPriority w:val="0"/>
    <w:tblPr>
      <w:tblCellMar>
        <w:left w:w="70" w:type="dxa"/>
        <w:right w:w="70" w:type="dxa"/>
      </w:tblCellMar>
    </w:tblPr>
  </w:style>
  <w:style w:type="table" w:customStyle="1" w:styleId="45">
    <w:name w:val="_Style 44"/>
    <w:basedOn w:val="21"/>
    <w:qFormat/>
    <w:uiPriority w:val="0"/>
    <w:tblPr>
      <w:tblCellMar>
        <w:left w:w="108" w:type="dxa"/>
        <w:right w:w="108" w:type="dxa"/>
      </w:tblCellMar>
    </w:tblPr>
  </w:style>
  <w:style w:type="character" w:customStyle="1" w:styleId="46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  <w:style w:type="character" w:customStyle="1" w:styleId="47">
    <w:name w:val="fontstyle21"/>
    <w:qFormat/>
    <w:uiPriority w:val="0"/>
    <w:rPr>
      <w:rFonts w:hint="default" w:ascii="Calibri" w:hAnsi="Calibri" w:cs="Calibri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Props1.xml><?xml version="1.0" encoding="utf-8"?>
<ds:datastoreItem xmlns:ds="http://schemas.openxmlformats.org/officeDocument/2006/customXml" ds:itemID="{20718F36-FF3B-4F60-A6F5-026CF9748A26}">
  <ds:schemaRefs/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640</Words>
  <Characters>3456</Characters>
  <Lines>28</Lines>
  <Paragraphs>8</Paragraphs>
  <TotalTime>99</TotalTime>
  <ScaleCrop>false</ScaleCrop>
  <LinksUpToDate>false</LinksUpToDate>
  <CharactersWithSpaces>4088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izabella.nogueira</dc:creator>
  <cp:lastModifiedBy>thalles.gomes</cp:lastModifiedBy>
  <cp:lastPrinted>2025-07-16T20:34:00Z</cp:lastPrinted>
  <dcterms:modified xsi:type="dcterms:W3CDTF">2026-03-31T18:15:43Z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1046-12.2.0.23196</vt:lpwstr>
  </property>
  <property fmtid="{D5CDD505-2E9C-101B-9397-08002B2CF9AE}" pid="3" name="ICV">
    <vt:lpwstr>03B2E7ECF27C4CFEA4A8013CABDCFDD8_13</vt:lpwstr>
  </property>
</Properties>
</file>